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910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10" w:type="dxa"/>
            <w:shd w:val="clear" w:color="auto" w:fill="FFFFFF"/>
          </w:tcPr>
          <w:tbl>
            <w:tblPr>
              <w:tblStyle w:val="5"/>
              <w:tblW w:w="9285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0" w:hRule="atLeast"/>
                <w:tblCellSpacing w:w="0" w:type="dxa"/>
                <w:jc w:val="center"/>
              </w:trPr>
              <w:tc>
                <w:tcPr>
                  <w:tcW w:w="928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FF0000"/>
                      <w:kern w:val="0"/>
                      <w:sz w:val="98"/>
                    </w:rPr>
                    <w:t>泰 安 市 公 安 局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Style w:val="5"/>
              <w:tblW w:w="9285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9285" w:type="dxa"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Style w:val="5"/>
              <w:tblW w:w="9285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285" w:type="dxa"/>
                  <w:vAlign w:val="center"/>
                </w:tcPr>
                <w:tbl>
                  <w:tblPr>
                    <w:tblStyle w:val="5"/>
                    <w:tblW w:w="9285" w:type="dxa"/>
                    <w:jc w:val="center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8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" w:hRule="atLeast"/>
                      <w:tblCellSpacing w:w="0" w:type="dxa"/>
                      <w:jc w:val="center"/>
                    </w:trPr>
                    <w:tc>
                      <w:tcPr>
                        <w:tcW w:w="9285" w:type="dxa"/>
                        <w:shd w:val="clear" w:color="auto" w:fill="FF0000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4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1910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  <w:hidden/>
        </w:trPr>
        <w:tc>
          <w:tcPr>
            <w:tcW w:w="11910" w:type="dxa"/>
            <w:shd w:val="clear" w:color="auto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vanish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关于对新泰市浩洋路桥工程有限公司等2家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爆破作业单位资质进行公示的公告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按照省公安厅要求，根据《山东省爆破作业单位资质许可及管理工作实施细则》有关规定，在县级公安机关审查的基础上，市局组织爆破作业专家对申请到期换发《爆破作业单位许可证》（营业性）的新泰市浩洋路桥工程有限公司、申请发放《爆破作业单位许可证》（非营业性）的东平金牛矿业有限公司进行了评审。经审查，上述2家单位符合相应资质要求，拟同意发放《爆破作业单位许可证》。到期换发《爆破作业单位许可证》（营业性）的新泰市浩洋路桥工程有限公司需报省厅审批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为体现公开、公平、公正原则，现对上述单位公示。</w:t>
      </w:r>
    </w:p>
    <w:p>
      <w:pPr>
        <w:spacing w:line="6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公示时间：自发布之日起，五个工作日。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期内，如有不同意见，可通过电话、传真、信函等形式反映。反映情况须客观真实，以单位名义反映情况的材料需加盖单位公章，以个人名义反映的应署实名并提供有效联系方式，以来信形式反映情况的以信函到达日邮戳为准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受理部门：泰安市公安局治安警察支队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联系电话：0538-8275036。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    真：0538-8275036。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通讯地址：泰山区岱道庵路158号。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邮政编码：271000。</w:t>
      </w:r>
    </w:p>
    <w:p>
      <w:pPr>
        <w:spacing w:line="6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特此公告。</w:t>
      </w:r>
    </w:p>
    <w:p>
      <w:pPr>
        <w:spacing w:line="600" w:lineRule="exact"/>
        <w:ind w:firstLine="600" w:firstLineChars="2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泰安市公安局</w:t>
      </w:r>
    </w:p>
    <w:p>
      <w:pPr>
        <w:spacing w:line="600" w:lineRule="exact"/>
        <w:ind w:firstLine="600" w:firstLineChars="2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2022年3月1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EC"/>
    <w:rsid w:val="000F4CE7"/>
    <w:rsid w:val="003370DA"/>
    <w:rsid w:val="00380884"/>
    <w:rsid w:val="004A3542"/>
    <w:rsid w:val="004D6E8A"/>
    <w:rsid w:val="00562DEB"/>
    <w:rsid w:val="00570A68"/>
    <w:rsid w:val="00576578"/>
    <w:rsid w:val="005F0265"/>
    <w:rsid w:val="0086083A"/>
    <w:rsid w:val="00913D38"/>
    <w:rsid w:val="00930652"/>
    <w:rsid w:val="00B65468"/>
    <w:rsid w:val="00D05613"/>
    <w:rsid w:val="00E438EC"/>
    <w:rsid w:val="68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style4"/>
    <w:basedOn w:val="6"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36</TotalTime>
  <ScaleCrop>false</ScaleCrop>
  <LinksUpToDate>false</LinksUpToDate>
  <CharactersWithSpaces>564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2022-03-07T06:39:00Z</dcterms:created>
  <dc:creator>Administrator</dc:creator>
  <cp:lastModifiedBy>Administrator</cp:lastModifiedBy>
  <dcterms:modified xsi:type="dcterms:W3CDTF">2022-03-14T07:49:06Z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